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F8C84" w14:textId="75E9E803" w:rsidR="00AD491B" w:rsidRDefault="00AD491B" w:rsidP="00AD491B">
      <w:pPr>
        <w:pStyle w:val="Ttulodefinitivo"/>
      </w:pPr>
      <w:r>
        <w:t>02 de octubre Día Internacional de la No Violencia</w:t>
      </w:r>
      <w:r w:rsidR="00227A78">
        <w:t xml:space="preserve">. </w:t>
      </w:r>
      <w:r w:rsidR="00227A78" w:rsidRPr="00227A78">
        <w:rPr>
          <w:bCs/>
        </w:rPr>
        <w:t>Actividades para las comunidades educativas</w:t>
      </w:r>
    </w:p>
    <w:p w14:paraId="3DB08843" w14:textId="77777777" w:rsidR="00AD491B" w:rsidRPr="00D0605A" w:rsidRDefault="00AD491B" w:rsidP="00AD491B">
      <w:pPr>
        <w:spacing w:line="360" w:lineRule="auto"/>
        <w:rPr>
          <w:rFonts w:cs="Tahoma"/>
          <w:szCs w:val="24"/>
        </w:rPr>
      </w:pPr>
      <w:r w:rsidRPr="00D0605A">
        <w:rPr>
          <w:rFonts w:cs="Tahoma"/>
          <w:szCs w:val="24"/>
        </w:rPr>
        <w:t xml:space="preserve">Presentación </w:t>
      </w:r>
    </w:p>
    <w:p w14:paraId="38684BE1" w14:textId="77AFF5D0" w:rsidR="00AD491B" w:rsidRDefault="00AD491B" w:rsidP="00AD491B">
      <w:pPr>
        <w:spacing w:line="360" w:lineRule="auto"/>
        <w:rPr>
          <w:rFonts w:cs="Tahoma"/>
          <w:color w:val="000000"/>
          <w:szCs w:val="24"/>
        </w:rPr>
      </w:pPr>
      <w:r w:rsidRPr="00D0605A">
        <w:rPr>
          <w:rFonts w:cs="Tahoma"/>
          <w:color w:val="000000"/>
          <w:szCs w:val="24"/>
        </w:rPr>
        <w:t xml:space="preserve">La Secretaría de Educación Pública, la Dirección General del Bachillerato, Preparatoria Abierta y los Centros de Atención para Estudiantes con Discapacidad presentan información del Calendario de Efemérides sobre Derechos Humanos. Este documento tiene </w:t>
      </w:r>
      <w:r>
        <w:rPr>
          <w:rFonts w:cs="Tahoma"/>
          <w:color w:val="000000"/>
          <w:szCs w:val="24"/>
        </w:rPr>
        <w:t>una</w:t>
      </w:r>
      <w:r w:rsidRPr="00D0605A">
        <w:rPr>
          <w:rFonts w:cs="Tahoma"/>
          <w:color w:val="000000"/>
          <w:szCs w:val="24"/>
        </w:rPr>
        <w:t xml:space="preserve"> </w:t>
      </w:r>
      <w:r w:rsidR="006C6611">
        <w:rPr>
          <w:rFonts w:cs="Tahoma"/>
          <w:color w:val="000000"/>
          <w:szCs w:val="24"/>
        </w:rPr>
        <w:t>actividad.</w:t>
      </w:r>
    </w:p>
    <w:p w14:paraId="34CCA74F" w14:textId="3034D1CB" w:rsidR="00227A78" w:rsidRDefault="00227A78" w:rsidP="00AD491B">
      <w:pPr>
        <w:pStyle w:val="Subttulodefinitivo"/>
        <w:rPr>
          <w:rFonts w:cs="Tahoma"/>
        </w:rPr>
      </w:pPr>
      <w:r w:rsidRPr="00227A78">
        <w:rPr>
          <w:rFonts w:cs="Tahoma"/>
          <w:bCs/>
        </w:rPr>
        <w:t>Actividad</w:t>
      </w:r>
      <w:r w:rsidR="00C80895">
        <w:rPr>
          <w:rFonts w:cs="Tahoma"/>
          <w:bCs/>
        </w:rPr>
        <w:t>.</w:t>
      </w:r>
      <w:r w:rsidRPr="00227A78">
        <w:rPr>
          <w:rFonts w:cs="Tahoma"/>
          <w:bCs/>
        </w:rPr>
        <w:t xml:space="preserve"> Solución del conflicto a partir de la no violenci</w:t>
      </w:r>
      <w:r>
        <w:rPr>
          <w:rFonts w:cs="Tahoma"/>
          <w:bCs/>
        </w:rPr>
        <w:t>a</w:t>
      </w:r>
      <w:r w:rsidR="00AD491B" w:rsidRPr="00D0605A">
        <w:rPr>
          <w:rFonts w:cs="Tahoma"/>
        </w:rPr>
        <w:t xml:space="preserve">. </w:t>
      </w:r>
    </w:p>
    <w:p w14:paraId="24E6B32F" w14:textId="618E1950" w:rsidR="00227A78" w:rsidRPr="00227A78" w:rsidRDefault="00C80895" w:rsidP="00227A78">
      <w:pPr>
        <w:spacing w:line="360" w:lineRule="auto"/>
        <w:rPr>
          <w:rFonts w:cs="Tahoma"/>
          <w:color w:val="000000"/>
          <w:szCs w:val="24"/>
        </w:rPr>
      </w:pPr>
      <w:r>
        <w:rPr>
          <w:rFonts w:cs="Tahoma"/>
          <w:color w:val="000000"/>
          <w:szCs w:val="24"/>
        </w:rPr>
        <w:t>Esta actividad tiene seis pa</w:t>
      </w:r>
      <w:r w:rsidR="00227A78" w:rsidRPr="00227A78">
        <w:rPr>
          <w:rFonts w:cs="Tahoma"/>
          <w:color w:val="000000"/>
          <w:szCs w:val="24"/>
        </w:rPr>
        <w:t>sos:</w:t>
      </w:r>
    </w:p>
    <w:p w14:paraId="4174DF40" w14:textId="02B76714" w:rsidR="00227A78" w:rsidRPr="00227A78" w:rsidRDefault="00227A78" w:rsidP="00227A78">
      <w:pPr>
        <w:numPr>
          <w:ilvl w:val="0"/>
          <w:numId w:val="1"/>
        </w:numPr>
        <w:spacing w:line="360" w:lineRule="auto"/>
        <w:rPr>
          <w:rFonts w:cs="Tahoma"/>
          <w:color w:val="000000"/>
          <w:szCs w:val="24"/>
        </w:rPr>
      </w:pPr>
      <w:r w:rsidRPr="00227A78">
        <w:rPr>
          <w:rFonts w:cs="Tahoma"/>
          <w:color w:val="000000"/>
          <w:szCs w:val="24"/>
        </w:rPr>
        <w:t>En grupo identifiquen una situación problemática que afecta la convivencia armónica y pacífica en el aula.</w:t>
      </w:r>
    </w:p>
    <w:p w14:paraId="3BA57789" w14:textId="77777777" w:rsidR="00227A78" w:rsidRPr="00227A78" w:rsidRDefault="00227A78" w:rsidP="00227A78">
      <w:pPr>
        <w:numPr>
          <w:ilvl w:val="0"/>
          <w:numId w:val="1"/>
        </w:numPr>
        <w:spacing w:line="360" w:lineRule="auto"/>
        <w:rPr>
          <w:rFonts w:cs="Tahoma"/>
          <w:color w:val="000000"/>
          <w:szCs w:val="24"/>
        </w:rPr>
      </w:pPr>
      <w:r w:rsidRPr="00227A78">
        <w:rPr>
          <w:rFonts w:cs="Tahoma"/>
          <w:color w:val="000000"/>
          <w:szCs w:val="24"/>
        </w:rPr>
        <w:t>Designen a una o dos personas quienes tomarán nota en el pizarrón de ideas que se expresen.</w:t>
      </w:r>
    </w:p>
    <w:p w14:paraId="55E7A214" w14:textId="77777777" w:rsidR="00227A78" w:rsidRPr="00227A78" w:rsidRDefault="00227A78" w:rsidP="00227A78">
      <w:pPr>
        <w:numPr>
          <w:ilvl w:val="0"/>
          <w:numId w:val="1"/>
        </w:numPr>
        <w:spacing w:line="360" w:lineRule="auto"/>
        <w:rPr>
          <w:rFonts w:cs="Tahoma"/>
          <w:color w:val="000000"/>
          <w:szCs w:val="24"/>
        </w:rPr>
      </w:pPr>
      <w:r w:rsidRPr="00227A78">
        <w:rPr>
          <w:rFonts w:cs="Tahoma"/>
          <w:color w:val="000000"/>
          <w:szCs w:val="24"/>
        </w:rPr>
        <w:t>Es importante que todas las personas compartan sus puntos de vista. </w:t>
      </w:r>
    </w:p>
    <w:p w14:paraId="3241B4E7" w14:textId="342C09E6" w:rsidR="00227A78" w:rsidRPr="00227A78" w:rsidRDefault="00227A78" w:rsidP="00227A78">
      <w:pPr>
        <w:numPr>
          <w:ilvl w:val="0"/>
          <w:numId w:val="1"/>
        </w:numPr>
        <w:spacing w:line="360" w:lineRule="auto"/>
        <w:rPr>
          <w:rFonts w:cs="Tahoma"/>
          <w:color w:val="000000"/>
          <w:szCs w:val="24"/>
        </w:rPr>
      </w:pPr>
      <w:r w:rsidRPr="00227A78">
        <w:rPr>
          <w:rFonts w:cs="Tahoma"/>
          <w:color w:val="000000"/>
          <w:szCs w:val="24"/>
        </w:rPr>
        <w:t>Establezcan acuerdos para recuperar la convivencia armónica y pacífica en el aula. La idea es que de forma conjunta y a partir de las diferentes opiniones y testimonios se llegue a propuestas y soluciones. El papel de la persona docente es dirigir las opiniones y debates, así como asegurarse que todas las personas participen.</w:t>
      </w:r>
    </w:p>
    <w:p w14:paraId="1DC5E161" w14:textId="2F234E0A" w:rsidR="00227A78" w:rsidRPr="00227A78" w:rsidRDefault="00227A78" w:rsidP="00227A78">
      <w:pPr>
        <w:numPr>
          <w:ilvl w:val="0"/>
          <w:numId w:val="1"/>
        </w:numPr>
        <w:spacing w:line="360" w:lineRule="auto"/>
        <w:rPr>
          <w:rFonts w:cs="Tahoma"/>
          <w:color w:val="000000"/>
          <w:szCs w:val="24"/>
        </w:rPr>
      </w:pPr>
      <w:r w:rsidRPr="00227A78">
        <w:rPr>
          <w:rFonts w:cs="Tahoma"/>
          <w:color w:val="000000"/>
          <w:szCs w:val="24"/>
        </w:rPr>
        <w:t>Mediante un dibujo, un poema, un mural, una muestra fotográfica u otros recursos expresen cómo se sintieron al practicar la resolución al conflicto.</w:t>
      </w:r>
    </w:p>
    <w:p w14:paraId="4B640973" w14:textId="7265B1F7" w:rsidR="00227A78" w:rsidRDefault="00227A78" w:rsidP="00227A78">
      <w:pPr>
        <w:numPr>
          <w:ilvl w:val="0"/>
          <w:numId w:val="1"/>
        </w:numPr>
        <w:spacing w:line="360" w:lineRule="auto"/>
        <w:rPr>
          <w:rFonts w:cs="Tahoma"/>
          <w:color w:val="000000"/>
          <w:szCs w:val="24"/>
        </w:rPr>
      </w:pPr>
      <w:r w:rsidRPr="00227A78">
        <w:rPr>
          <w:rFonts w:cs="Tahoma"/>
          <w:color w:val="000000"/>
          <w:szCs w:val="24"/>
        </w:rPr>
        <w:t xml:space="preserve">Envíen fotos, videos o audios de su actividad al correo </w:t>
      </w:r>
      <w:hyperlink r:id="rId5" w:history="1">
        <w:r w:rsidRPr="00227A78">
          <w:rPr>
            <w:rStyle w:val="Hipervnculo"/>
            <w:rFonts w:cs="Tahoma"/>
            <w:szCs w:val="24"/>
          </w:rPr>
          <w:t>educacion.inclusiva@dgb.edu.mx</w:t>
        </w:r>
      </w:hyperlink>
      <w:r>
        <w:rPr>
          <w:rFonts w:cs="Tahoma"/>
          <w:color w:val="000000"/>
          <w:szCs w:val="24"/>
        </w:rPr>
        <w:t>.</w:t>
      </w:r>
    </w:p>
    <w:p w14:paraId="50086931" w14:textId="1847EA8E" w:rsidR="009F0AB2" w:rsidRDefault="00227A78">
      <w:r>
        <w:t>Fin del documento.</w:t>
      </w:r>
    </w:p>
    <w:sectPr w:rsidR="009F0A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F6C9E"/>
    <w:multiLevelType w:val="multilevel"/>
    <w:tmpl w:val="71B8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61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3"/>
    <w:rsid w:val="00040F37"/>
    <w:rsid w:val="000E5258"/>
    <w:rsid w:val="00227A78"/>
    <w:rsid w:val="0037628C"/>
    <w:rsid w:val="0039746C"/>
    <w:rsid w:val="003B64A6"/>
    <w:rsid w:val="003C3789"/>
    <w:rsid w:val="004869C1"/>
    <w:rsid w:val="004B4B1E"/>
    <w:rsid w:val="00576913"/>
    <w:rsid w:val="005F49B2"/>
    <w:rsid w:val="00633525"/>
    <w:rsid w:val="006C6611"/>
    <w:rsid w:val="00893626"/>
    <w:rsid w:val="009053E2"/>
    <w:rsid w:val="009F0AB2"/>
    <w:rsid w:val="00A0484B"/>
    <w:rsid w:val="00AD491B"/>
    <w:rsid w:val="00C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1C1B"/>
  <w15:chartTrackingRefBased/>
  <w15:docId w15:val="{1FAA770D-FB71-4BB6-B48A-2B4031E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ormato"/>
    <w:qFormat/>
    <w:rsid w:val="00AD491B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9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9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9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9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9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9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9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9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9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9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913"/>
    <w:rPr>
      <w:b/>
      <w:bCs/>
      <w:smallCaps/>
      <w:color w:val="0F4761" w:themeColor="accent1" w:themeShade="BF"/>
      <w:spacing w:val="5"/>
    </w:rPr>
  </w:style>
  <w:style w:type="paragraph" w:customStyle="1" w:styleId="Ttulodefinitivo">
    <w:name w:val="Título definitivo"/>
    <w:basedOn w:val="Ttulo1"/>
    <w:link w:val="TtulodefinitivoCar"/>
    <w:qFormat/>
    <w:rsid w:val="00AD491B"/>
    <w:pPr>
      <w:spacing w:before="240" w:after="0"/>
    </w:pPr>
    <w:rPr>
      <w:rFonts w:ascii="Tahoma" w:hAnsi="Tahoma"/>
      <w:b/>
      <w:color w:val="000000" w:themeColor="text1"/>
      <w:sz w:val="28"/>
      <w:szCs w:val="24"/>
    </w:rPr>
  </w:style>
  <w:style w:type="character" w:customStyle="1" w:styleId="TtulodefinitivoCar">
    <w:name w:val="Título definitivo Car"/>
    <w:basedOn w:val="Ttulo1Car"/>
    <w:link w:val="Ttulodefinitivo"/>
    <w:rsid w:val="00AD491B"/>
    <w:rPr>
      <w:rFonts w:ascii="Tahoma" w:eastAsiaTheme="majorEastAsia" w:hAnsi="Tahoma" w:cstheme="majorBidi"/>
      <w:b/>
      <w:color w:val="000000" w:themeColor="text1"/>
      <w:sz w:val="28"/>
      <w:szCs w:val="24"/>
    </w:rPr>
  </w:style>
  <w:style w:type="paragraph" w:customStyle="1" w:styleId="Subttulodefinitivo">
    <w:name w:val="Subtítulo definitivo"/>
    <w:basedOn w:val="Ttulo2"/>
    <w:link w:val="SubttulodefinitivoCar"/>
    <w:qFormat/>
    <w:rsid w:val="00AD491B"/>
    <w:pPr>
      <w:spacing w:before="40" w:after="0" w:line="360" w:lineRule="auto"/>
    </w:pPr>
    <w:rPr>
      <w:rFonts w:ascii="Tahoma" w:hAnsi="Tahoma"/>
      <w:b/>
      <w:color w:val="000000"/>
      <w:sz w:val="24"/>
      <w:szCs w:val="24"/>
    </w:rPr>
  </w:style>
  <w:style w:type="character" w:customStyle="1" w:styleId="SubttulodefinitivoCar">
    <w:name w:val="Subtítulo definitivo Car"/>
    <w:basedOn w:val="Ttulo2Car"/>
    <w:link w:val="Subttulodefinitivo"/>
    <w:rsid w:val="00AD491B"/>
    <w:rPr>
      <w:rFonts w:ascii="Tahoma" w:eastAsiaTheme="majorEastAsia" w:hAnsi="Tahoma" w:cstheme="majorBidi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7A78"/>
    <w:rPr>
      <w:rFonts w:ascii="Times New Roman" w:hAnsi="Times New Roman" w:cs="Times New Roman"/>
      <w:szCs w:val="24"/>
    </w:rPr>
  </w:style>
  <w:style w:type="character" w:styleId="Hipervnculo">
    <w:name w:val="Hyperlink"/>
    <w:basedOn w:val="Fuentedeprrafopredeter"/>
    <w:uiPriority w:val="99"/>
    <w:unhideWhenUsed/>
    <w:rsid w:val="00227A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7A7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69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69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69C1"/>
    <w:rPr>
      <w:rFonts w:ascii="Tahoma" w:hAnsi="Tahom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69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69C1"/>
    <w:rPr>
      <w:rFonts w:ascii="Tahoma" w:hAnsi="Tahoma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869C1"/>
    <w:rPr>
      <w:b/>
      <w:bCs/>
    </w:rPr>
  </w:style>
  <w:style w:type="paragraph" w:styleId="Revisin">
    <w:name w:val="Revision"/>
    <w:hidden/>
    <w:uiPriority w:val="99"/>
    <w:semiHidden/>
    <w:rsid w:val="006C6611"/>
    <w:pPr>
      <w:spacing w:after="0" w:line="240" w:lineRule="auto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cacion.inclusiva@dgb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02 de octubre Día Internacional de la No Violencia_postal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de octubre Día Internacional de la No Violencia_postal</dc:title>
  <dc:subject/>
  <dc:creator>Abigail Damaris</dc:creator>
  <cp:keywords>Postal, no violencia, actividad, educación inclusiva</cp:keywords>
  <dc:description/>
  <cp:lastModifiedBy>María de la Luz Silva Rojas</cp:lastModifiedBy>
  <cp:revision>2</cp:revision>
  <dcterms:created xsi:type="dcterms:W3CDTF">2024-10-02T15:35:00Z</dcterms:created>
  <dcterms:modified xsi:type="dcterms:W3CDTF">2024-10-02T15:35:00Z</dcterms:modified>
</cp:coreProperties>
</file>